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E" w:rsidRPr="00156D85" w:rsidRDefault="00B91B6E" w:rsidP="0029061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VALORE EMOZIONALE-MOTIVAZIONALE DELLE TIC</w:t>
      </w:r>
    </w:p>
    <w:p w:rsidR="00290612" w:rsidRPr="00156D85" w:rsidRDefault="00290612" w:rsidP="0029061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6D85">
        <w:rPr>
          <w:rFonts w:ascii="Times New Roman" w:hAnsi="Times New Roman" w:cs="Times New Roman"/>
          <w:i/>
          <w:sz w:val="24"/>
          <w:szCs w:val="24"/>
        </w:rPr>
        <w:t>La volontà non esiste al di fuori dell’</w:t>
      </w:r>
      <w:proofErr w:type="spellStart"/>
      <w:r w:rsidRPr="00156D85">
        <w:rPr>
          <w:rFonts w:ascii="Times New Roman" w:hAnsi="Times New Roman" w:cs="Times New Roman"/>
          <w:i/>
          <w:sz w:val="24"/>
          <w:szCs w:val="24"/>
        </w:rPr>
        <w:t>interesse…l</w:t>
      </w:r>
      <w:proofErr w:type="spellEnd"/>
      <w:r w:rsidRPr="00156D85">
        <w:rPr>
          <w:rFonts w:ascii="Times New Roman" w:hAnsi="Times New Roman" w:cs="Times New Roman"/>
          <w:i/>
          <w:sz w:val="24"/>
          <w:szCs w:val="24"/>
        </w:rPr>
        <w:t>’interesse non esiste separato da un legame emotivo..il legame emotivo non si costruisce quando il rapporto tra professore e studente è un rapporto di reciproca diffidenza“</w:t>
      </w:r>
    </w:p>
    <w:p w:rsidR="00290612" w:rsidRPr="00156D85" w:rsidRDefault="00290612" w:rsidP="00290612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6D85">
        <w:rPr>
          <w:rFonts w:ascii="Times New Roman" w:hAnsi="Times New Roman" w:cs="Times New Roman"/>
          <w:i/>
          <w:sz w:val="24"/>
          <w:szCs w:val="24"/>
        </w:rPr>
        <w:t>U.Galimberti</w:t>
      </w:r>
      <w:proofErr w:type="spellEnd"/>
    </w:p>
    <w:p w:rsidR="00290612" w:rsidRPr="00156D85" w:rsidRDefault="00290612" w:rsidP="00290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Sembrerebbe una necessità del genere umano conoscere, destrutturare e ricostruire nuovi saperi attraver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so una dimensione ludica,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un’esperienza rassicurante in cui si intrecciano giochi, fantasie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, divertimento e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creatività. Pertanto, se 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appare evidente un’interconnessione funzionale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tra la sfera delle emozioni e il processo di acquisizione di nuove conoscenze, non è altrettanto ovvio il legame tra emozioni e tecnologia. Al contrario ad una prima analisi si prospetterebbe  un contrasto ed una forte antinomia tra l’emozione e tutto ciò che alla sua sfera è correlato (sentimenti, sensazioni, affetti, istinti imprevedibili) e la tecnologia, con le sue modalità di funzionamento tecnocratiche ed efficientissime. Tuttavia questa prospettiva cambia, è la dicotomia diventa solo apparente quando ci muoviamo nel territorio della comunicazione tra docente e alunni. Si tratta di una comunicazione intenzionale, strategicamente mirata alla </w:t>
      </w:r>
      <w:proofErr w:type="spellStart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co-costruzione</w:t>
      </w:r>
      <w:proofErr w:type="spellEnd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di nuove conoscenze, che cerca di utilizzare il canale tecnologico per ottenere una disponibilità intellettuale degli studenti</w:t>
      </w:r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a comprendere ed imparare. La </w:t>
      </w:r>
      <w:proofErr w:type="spellStart"/>
      <w:r>
        <w:rPr>
          <w:rStyle w:val="Enfasicorsivo"/>
          <w:rFonts w:ascii="Times New Roman" w:hAnsi="Times New Roman" w:cs="Times New Roman"/>
          <w:i w:val="0"/>
          <w:sz w:val="24"/>
          <w:szCs w:val="24"/>
        </w:rPr>
        <w:t>L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im</w:t>
      </w:r>
      <w:proofErr w:type="spellEnd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(lavagna interattiva multimediale) in classe rappresenta un potente attivatore dell’attenzione, </w:t>
      </w:r>
      <w:r w:rsidRPr="00156D85">
        <w:rPr>
          <w:rFonts w:ascii="Times New Roman" w:hAnsi="Times New Roman" w:cs="Times New Roman"/>
          <w:sz w:val="24"/>
          <w:szCs w:val="24"/>
        </w:rPr>
        <w:t xml:space="preserve">in quanto è capace di promuovere nell’allievo lo sviluppo di atteggiamenti che caratterizzano la sfera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affettivo-motivazionale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, diventando un importante 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partner</w:t>
      </w:r>
      <w:r w:rsidRPr="00156D85">
        <w:rPr>
          <w:rFonts w:ascii="Times New Roman" w:hAnsi="Times New Roman" w:cs="Times New Roman"/>
          <w:sz w:val="24"/>
          <w:szCs w:val="24"/>
        </w:rPr>
        <w:t xml:space="preserve"> in grado di offrire </w:t>
      </w:r>
      <w:proofErr w:type="spellStart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scaffolding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, un’impalcatura nello sviluppo di conoscenze e abilità </w:t>
      </w:r>
      <w:r w:rsidRPr="00156D8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scaffolding</w:t>
      </w:r>
      <w:proofErr w:type="spellEnd"/>
      <w:r w:rsidRPr="00156D85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cognitivo</w:t>
      </w:r>
      <w:r w:rsidRPr="00156D85">
        <w:rPr>
          <w:rFonts w:ascii="Times New Roman" w:hAnsi="Times New Roman" w:cs="Times New Roman"/>
          <w:sz w:val="24"/>
          <w:szCs w:val="24"/>
        </w:rPr>
        <w:t xml:space="preserve">) e nella maturazione di competenze anche a livello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intrapersonale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scaffolding</w:t>
      </w:r>
      <w:proofErr w:type="spellEnd"/>
      <w:r w:rsidRPr="00156D85">
        <w:rPr>
          <w:rStyle w:val="Enfasicorsivo"/>
          <w:rFonts w:ascii="Times New Roman" w:hAnsi="Times New Roman" w:cs="Times New Roman"/>
          <w:sz w:val="24"/>
          <w:szCs w:val="24"/>
        </w:rPr>
        <w:t xml:space="preserve"> </w:t>
      </w:r>
      <w:r w:rsidRPr="00156D85">
        <w:rPr>
          <w:rStyle w:val="Enfasicorsivo"/>
          <w:rFonts w:ascii="Times New Roman" w:hAnsi="Times New Roman" w:cs="Times New Roman"/>
          <w:i w:val="0"/>
          <w:sz w:val="24"/>
          <w:szCs w:val="24"/>
        </w:rPr>
        <w:t>affettivo</w:t>
      </w:r>
      <w:r w:rsidRPr="00156D85">
        <w:rPr>
          <w:rFonts w:ascii="Times New Roman" w:hAnsi="Times New Roman" w:cs="Times New Roman"/>
          <w:sz w:val="24"/>
          <w:szCs w:val="24"/>
        </w:rPr>
        <w:t xml:space="preserve">). Riferendoci alle teorie di </w:t>
      </w:r>
      <w:proofErr w:type="spellStart"/>
      <w:r w:rsidRPr="00156D85">
        <w:rPr>
          <w:rStyle w:val="st"/>
          <w:rFonts w:ascii="Times New Roman" w:hAnsi="Times New Roman" w:cs="Times New Roman"/>
          <w:sz w:val="24"/>
          <w:szCs w:val="24"/>
        </w:rPr>
        <w:t>Vygotskij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potremmo affermare che nel raggiungere “la zona di sviluppo prossimale”, lo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stakeolder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(colui che apprende, il portatore di interesse) può essere accompagnato non solo dall’insegnante o il compagno più esperto, ma anche dalle tecnologie, sia quelle tradizionali, sia quelle digitali e telematiche, fino alle più recenti tecnologie sociali. La Commissione Europea in un  rapporto del 2006 cita un’indagine svolta da Empirica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6D85">
        <w:rPr>
          <w:rFonts w:ascii="Times New Roman" w:hAnsi="Times New Roman" w:cs="Times New Roman"/>
          <w:sz w:val="24"/>
          <w:szCs w:val="24"/>
        </w:rPr>
        <w:t xml:space="preserve"> secondo la quale l‟86% degli insegnanti europei consultati affermano che gli studenti risultano più motivati e coinvolti quando in classe vengono usati il computer e Internet. Tuttavia una parte degli insegnanti intervistati sostenevano che il computer non apportava nessun vantaggio durante la lezione. Al riguardo infatti va evidenziato che alcuni ricercatori tendono a precisare come in realtà di per sé la tecnologia non è un fattore di increme</w:t>
      </w:r>
      <w:r>
        <w:rPr>
          <w:rFonts w:ascii="Times New Roman" w:hAnsi="Times New Roman" w:cs="Times New Roman"/>
          <w:sz w:val="24"/>
          <w:szCs w:val="24"/>
        </w:rPr>
        <w:t>nto della motivazione, e di sentimenti positivi, poiché</w:t>
      </w:r>
      <w:r w:rsidRPr="00156D85">
        <w:rPr>
          <w:rFonts w:ascii="Times New Roman" w:hAnsi="Times New Roman" w:cs="Times New Roman"/>
          <w:sz w:val="24"/>
          <w:szCs w:val="24"/>
        </w:rPr>
        <w:t xml:space="preserve"> il vero elemento chiav</w:t>
      </w:r>
      <w:r>
        <w:rPr>
          <w:rFonts w:ascii="Times New Roman" w:hAnsi="Times New Roman" w:cs="Times New Roman"/>
          <w:sz w:val="24"/>
          <w:szCs w:val="24"/>
        </w:rPr>
        <w:t xml:space="preserve">e è il modo in cui il docente </w:t>
      </w:r>
      <w:r w:rsidRPr="00156D85">
        <w:rPr>
          <w:rFonts w:ascii="Times New Roman" w:hAnsi="Times New Roman" w:cs="Times New Roman"/>
          <w:sz w:val="24"/>
          <w:szCs w:val="24"/>
        </w:rPr>
        <w:t xml:space="preserve"> utilizza</w:t>
      </w:r>
      <w:r>
        <w:rPr>
          <w:rFonts w:ascii="Times New Roman" w:hAnsi="Times New Roman" w:cs="Times New Roman"/>
          <w:sz w:val="24"/>
          <w:szCs w:val="24"/>
        </w:rPr>
        <w:t xml:space="preserve"> le tic</w:t>
      </w:r>
      <w:r w:rsidRPr="00156D85">
        <w:rPr>
          <w:rFonts w:ascii="Times New Roman" w:hAnsi="Times New Roman" w:cs="Times New Roman"/>
          <w:sz w:val="24"/>
          <w:szCs w:val="24"/>
        </w:rPr>
        <w:t xml:space="preserve"> per organizzare l’esperienza di apprendimento (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Jonassen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>).</w:t>
      </w:r>
    </w:p>
    <w:p w:rsidR="00290612" w:rsidRPr="00156D85" w:rsidRDefault="00290612" w:rsidP="00290612">
      <w:pPr>
        <w:spacing w:line="360" w:lineRule="auto"/>
        <w:jc w:val="center"/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</w:pPr>
      <w:r w:rsidRPr="00156D8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05799" cy="1566407"/>
            <wp:effectExtent l="76200" t="19050" r="85201" b="14743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90612" w:rsidRDefault="00290612" w:rsidP="00B91B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85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E’ l’insegnante dunque</w:t>
      </w:r>
      <w: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156D85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che attraverso l’appropriato utilizzo delle Tic in classe</w:t>
      </w:r>
      <w: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156D85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fa convergere l’interesse per la tecnologia con l’interesse per la disciplina trattata verso un proficuo processo di apprendimento. A partire dagli anni 80’ si sono susseguite diverse teorie sulla centralità della sfera emotiva nei processi di apprendimento, nonostante l’approccio cognitivista dominava ancora gli scenari intellett</w:t>
      </w:r>
      <w:r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>uali. H. Gardner cercando di min</w:t>
      </w:r>
      <w:r w:rsidRPr="00156D85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are con la sua teoria delle intelligenze multiple la tradizionale concezione oggettiva e misurabile dell’intelligenza umana, affermava </w:t>
      </w:r>
      <w:r w:rsidRPr="00156D85">
        <w:rPr>
          <w:rFonts w:ascii="Times New Roman" w:hAnsi="Times New Roman" w:cs="Times New Roman"/>
          <w:sz w:val="24"/>
          <w:szCs w:val="24"/>
        </w:rPr>
        <w:t>che gli studenti conoscono, ricordano e successivamente usano con maggiore facilità le esperienze verso le quali hanno reazioni emozionali forti e positive.</w:t>
      </w:r>
      <w:r w:rsidRPr="00156D85"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Schuman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sosteneva che quando un soggetto riceve degli stimoli dall’ambiente, egli procede dapprima ad una valutazione di tipo razionale, a cui però segue immediatamente una valutazione più profonda di tipo emozionale, attraverso la quale egli rapporta gli stimoli ricevuti alle proprie aspettative, ai propri bisogni e ai propri desideri. </w:t>
      </w:r>
      <w:r>
        <w:rPr>
          <w:rFonts w:ascii="Times New Roman" w:hAnsi="Times New Roman" w:cs="Times New Roman"/>
          <w:sz w:val="24"/>
          <w:szCs w:val="24"/>
        </w:rPr>
        <w:t>L’emozione percepita</w:t>
      </w:r>
      <w:r w:rsidRPr="00156D85">
        <w:rPr>
          <w:rFonts w:ascii="Times New Roman" w:hAnsi="Times New Roman" w:cs="Times New Roman"/>
          <w:sz w:val="24"/>
          <w:szCs w:val="24"/>
        </w:rPr>
        <w:t xml:space="preserve"> attiva la risposta comportamentale e, di conseguenza, solo gli stimoli considerati positivi verranno appre</w:t>
      </w:r>
      <w:r>
        <w:rPr>
          <w:rFonts w:ascii="Times New Roman" w:hAnsi="Times New Roman" w:cs="Times New Roman"/>
          <w:sz w:val="24"/>
          <w:szCs w:val="24"/>
        </w:rPr>
        <w:t>si e interiorizzati. Questi ultimi, infatti, verranno trasferiti</w:t>
      </w:r>
      <w:r w:rsidRPr="00156D85">
        <w:rPr>
          <w:rFonts w:ascii="Times New Roman" w:hAnsi="Times New Roman" w:cs="Times New Roman"/>
          <w:sz w:val="24"/>
          <w:szCs w:val="24"/>
        </w:rPr>
        <w:t xml:space="preserve"> dalla memoria di lavoro ai centri deputati all’elaborazione e all’immagazzinamento delle informazioni. Un ulteriore autorevole teoria è stata elaborata da D.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il quale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Pr="00156D85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56D85">
        <w:rPr>
          <w:rFonts w:ascii="Times New Roman" w:hAnsi="Times New Roman" w:cs="Times New Roman"/>
          <w:sz w:val="24"/>
          <w:szCs w:val="24"/>
        </w:rPr>
        <w:t xml:space="preserve"> al mondo scientifico ed accademico il suo studio sull’intelligenza emotiva, definita come una competenza emozionale regolata dalla capacità di riconoscere, utilizzare, comprendere e gestire in modo consapevole le proprie ed altrui emozioni. Attualmente l’intelligenza emotiva è riconosciuta come una delle componenti maggiormente responsabili dell’ottimizzazione del processo di apprendimento, per la sua capacità di garantire la nascita di pensieri positivi, tesi a migliorare la qualità del vivere scolastico, prevenendo il disagio emotivo e rafforzando l’empatia. Da un indagine condotta sulla nostra realtà scolastica è emerso che ogni anno circa il 20% degli alunni della scuola vivono una serie di frustrazioni per le loro difficoltà di apprendimento. Insicurezze, ansie e paure, sono presenti in questi soggetti che hanno una scarsa autostima personale. Da ciò ne consegue l’incapacità di attenzione e concentrazione, la disorganizzazione percettiva e logica, la demotivazione ed un disinteresse per ogni forma di apprendimento scolastico, percepito come superiore alle proprie possibilità o come un nozionismo sterile ed inutile. Come guarire da tutto questo? Come riuscire a </w:t>
      </w:r>
      <w:r w:rsidRPr="00156D85">
        <w:rPr>
          <w:rFonts w:ascii="Times New Roman" w:hAnsi="Times New Roman" w:cs="Times New Roman"/>
          <w:sz w:val="24"/>
          <w:szCs w:val="24"/>
        </w:rPr>
        <w:lastRenderedPageBreak/>
        <w:t xml:space="preserve">canalizzare in maniera positiva le emozioni e motivare uno studente ad apprendere?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Ausubel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affermava che il modo migliore per insegnare ad uno studente non motivato è di ignorare questo fattore per il momento e di concentrarsi sull’insegnamento più efficace possibile. In ogni caso ciò porterà ad un certo grado di apprendimento, e si può sperare che dalla gratificazione che ne deriva, egli svilupperà la motivazione ad apprendere ancora.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56D85">
        <w:rPr>
          <w:rFonts w:ascii="Times New Roman" w:hAnsi="Times New Roman" w:cs="Times New Roman"/>
          <w:sz w:val="24"/>
          <w:szCs w:val="24"/>
        </w:rPr>
        <w:t>a pedagogia tradizionale sembra essersi o</w:t>
      </w:r>
      <w:r>
        <w:rPr>
          <w:rFonts w:ascii="Times New Roman" w:hAnsi="Times New Roman" w:cs="Times New Roman"/>
          <w:sz w:val="24"/>
          <w:szCs w:val="24"/>
        </w:rPr>
        <w:t xml:space="preserve">ccupata poco della motivazione, poiché il suo modello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educativo-</w:t>
      </w:r>
      <w:r w:rsidRPr="00156D85">
        <w:rPr>
          <w:rFonts w:ascii="Times New Roman" w:hAnsi="Times New Roman" w:cs="Times New Roman"/>
          <w:sz w:val="24"/>
          <w:szCs w:val="24"/>
        </w:rPr>
        <w:t>formativo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riferimento </w:t>
      </w:r>
      <w:r w:rsidRPr="00156D85">
        <w:rPr>
          <w:rFonts w:ascii="Times New Roman" w:hAnsi="Times New Roman" w:cs="Times New Roman"/>
          <w:sz w:val="24"/>
          <w:szCs w:val="24"/>
        </w:rPr>
        <w:t>era caratterizzato da una visione passiva dell’alunno (vaso da riempire), il quale si limitava a recepire i contenuti trasmessi dal docente, senza che gli fosse richiesta una elaborazione personale, una riflessione, un analisi. Oggi le nuove teorie socio-psico-pedagogiche sono tutte concordi nel focalizzare l’attenzione sul soggetto che apprende, sulle sue esigenze e</w:t>
      </w:r>
      <w:r>
        <w:rPr>
          <w:rFonts w:ascii="Times New Roman" w:hAnsi="Times New Roman" w:cs="Times New Roman"/>
          <w:sz w:val="24"/>
          <w:szCs w:val="24"/>
        </w:rPr>
        <w:t xml:space="preserve"> i suoi</w:t>
      </w:r>
      <w:r w:rsidRPr="00156D85">
        <w:rPr>
          <w:rFonts w:ascii="Times New Roman" w:hAnsi="Times New Roman" w:cs="Times New Roman"/>
          <w:sz w:val="24"/>
          <w:szCs w:val="24"/>
        </w:rPr>
        <w:t xml:space="preserve"> bis</w:t>
      </w:r>
      <w:r>
        <w:rPr>
          <w:rFonts w:ascii="Times New Roman" w:hAnsi="Times New Roman" w:cs="Times New Roman"/>
          <w:sz w:val="24"/>
          <w:szCs w:val="24"/>
        </w:rPr>
        <w:t>ogni</w:t>
      </w:r>
      <w:r w:rsidRPr="00156D85">
        <w:rPr>
          <w:rFonts w:ascii="Times New Roman" w:hAnsi="Times New Roman" w:cs="Times New Roman"/>
          <w:sz w:val="24"/>
          <w:szCs w:val="24"/>
        </w:rPr>
        <w:t>. Nella progettazione degli interventi formativi non si può escludere il sogge</w:t>
      </w:r>
      <w:r>
        <w:rPr>
          <w:rFonts w:ascii="Times New Roman" w:hAnsi="Times New Roman" w:cs="Times New Roman"/>
          <w:sz w:val="24"/>
          <w:szCs w:val="24"/>
        </w:rPr>
        <w:t xml:space="preserve">tto nella sua interezza, considerato che </w:t>
      </w:r>
      <w:r w:rsidRPr="00156D85">
        <w:rPr>
          <w:rFonts w:ascii="Times New Roman" w:hAnsi="Times New Roman" w:cs="Times New Roman"/>
          <w:sz w:val="24"/>
          <w:szCs w:val="24"/>
        </w:rPr>
        <w:t xml:space="preserve">il momento cognitivo e quello affettivo interagiscono e si alimentano a vicenda. Pertanto il problema dell’insegnante è creare una situazione motivante che favorisca l’apprendimento.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Johnson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56D85">
        <w:rPr>
          <w:rFonts w:ascii="Times New Roman" w:hAnsi="Times New Roman" w:cs="Times New Roman"/>
          <w:sz w:val="24"/>
          <w:szCs w:val="24"/>
        </w:rPr>
        <w:t>Johnson</w:t>
      </w:r>
      <w:proofErr w:type="spellEnd"/>
      <w:r w:rsidRPr="00156D85">
        <w:rPr>
          <w:rFonts w:ascii="Times New Roman" w:hAnsi="Times New Roman" w:cs="Times New Roman"/>
          <w:sz w:val="24"/>
          <w:szCs w:val="24"/>
        </w:rPr>
        <w:t xml:space="preserve"> hanno definito la motivazione ad apprendere come il grado di </w:t>
      </w:r>
      <w:r w:rsidRPr="00156D85">
        <w:rPr>
          <w:rFonts w:ascii="Times New Roman" w:hAnsi="Times New Roman" w:cs="Times New Roman"/>
          <w:iCs/>
          <w:sz w:val="24"/>
          <w:szCs w:val="24"/>
        </w:rPr>
        <w:t xml:space="preserve">impegno cognitivo </w:t>
      </w:r>
      <w:r w:rsidRPr="00156D8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vestito dagli studenti per il raggiungimento di obiettivi scolastici</w:t>
      </w:r>
      <w:r w:rsidRPr="00156D85">
        <w:rPr>
          <w:rFonts w:ascii="Times New Roman" w:hAnsi="Times New Roman" w:cs="Times New Roman"/>
          <w:sz w:val="24"/>
          <w:szCs w:val="24"/>
        </w:rPr>
        <w:t>, la serietà con cui un allievo tenta di affrontare gli im</w:t>
      </w:r>
      <w:r>
        <w:rPr>
          <w:rFonts w:ascii="Times New Roman" w:hAnsi="Times New Roman" w:cs="Times New Roman"/>
          <w:sz w:val="24"/>
          <w:szCs w:val="24"/>
        </w:rPr>
        <w:t>pegni,</w:t>
      </w:r>
      <w:r w:rsidRPr="00156D85">
        <w:rPr>
          <w:rFonts w:ascii="Times New Roman" w:hAnsi="Times New Roman" w:cs="Times New Roman"/>
          <w:sz w:val="24"/>
          <w:szCs w:val="24"/>
        </w:rPr>
        <w:t xml:space="preserve"> con lo scopo di: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56D85">
        <w:rPr>
          <w:rFonts w:ascii="Times New Roman" w:hAnsi="Times New Roman" w:cs="Times New Roman"/>
          <w:sz w:val="24"/>
          <w:szCs w:val="24"/>
        </w:rPr>
        <w:t>padroneggiare le conoscenze e le abilità piuttosto che</w:t>
      </w:r>
      <w:r>
        <w:rPr>
          <w:rFonts w:ascii="Times New Roman" w:hAnsi="Times New Roman" w:cs="Times New Roman"/>
          <w:sz w:val="24"/>
          <w:szCs w:val="24"/>
        </w:rPr>
        <w:t xml:space="preserve"> fare il minimo indispensabile, b)</w:t>
      </w:r>
      <w:r w:rsidRPr="00156D85">
        <w:rPr>
          <w:rFonts w:ascii="Times New Roman" w:hAnsi="Times New Roman" w:cs="Times New Roman"/>
          <w:sz w:val="24"/>
          <w:szCs w:val="24"/>
        </w:rPr>
        <w:t xml:space="preserve"> verificare apertamente lo stato delle proprie conoscenze, piuttosto che cercare di portare a termine il compito indipendentemente dall’avere appreso qualcosa. Gli studiosi </w:t>
      </w:r>
      <w:proofErr w:type="spellStart"/>
      <w:r w:rsidRPr="00156D85">
        <w:rPr>
          <w:rFonts w:ascii="Times New Roman" w:eastAsia="Times New Roman" w:hAnsi="Times New Roman" w:cs="Times New Roman"/>
          <w:snapToGrid w:val="0"/>
          <w:sz w:val="24"/>
          <w:szCs w:val="24"/>
        </w:rPr>
        <w:t>Brophy</w:t>
      </w:r>
      <w:proofErr w:type="spellEnd"/>
      <w:r w:rsidRPr="00156D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 </w:t>
      </w:r>
      <w:proofErr w:type="spellStart"/>
      <w:r w:rsidRPr="00156D85">
        <w:rPr>
          <w:rFonts w:ascii="Times New Roman" w:eastAsia="Times New Roman" w:hAnsi="Times New Roman" w:cs="Times New Roman"/>
          <w:snapToGrid w:val="0"/>
          <w:sz w:val="24"/>
          <w:szCs w:val="24"/>
        </w:rPr>
        <w:t>Kher</w:t>
      </w:r>
      <w:proofErr w:type="spellEnd"/>
      <w:r w:rsidRPr="00156D8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t>hanno proposto di distinguere due tipi di motivazione ad apprendere: una che si manifesta come tratto di personalità e una che si manifesta come stato. Nella prima accezione il concetto si riferisce ad una disposizione generale che permette ad uno studente di percepire l’apprendimento come un’attività intrinsecamente valida e soddisfacente e quindi di impegnarsi in essa con lo scopo di padroneggi</w:t>
      </w:r>
      <w:r>
        <w:rPr>
          <w:rFonts w:ascii="Times New Roman" w:eastAsia="Times New Roman" w:hAnsi="Times New Roman" w:cs="Times New Roman"/>
          <w:sz w:val="24"/>
          <w:szCs w:val="24"/>
        </w:rPr>
        <w:t>are le abilità e le conoscenze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. Lee e 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Brophy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 ipotizzano che gli studenti che abitualmente si impegnano nell’apprendimento tendono per lo più a sperimentare le attività come gratificanti in sé e a provare nei compiti o nello studio di una disciplina un gusto e un piacere intrinseco . Alla luce di queste teorie che sottolineano l’importanza della motivaz</w:t>
      </w:r>
      <w:r>
        <w:rPr>
          <w:rFonts w:ascii="Times New Roman" w:eastAsia="Times New Roman" w:hAnsi="Times New Roman" w:cs="Times New Roman"/>
          <w:sz w:val="24"/>
          <w:szCs w:val="24"/>
        </w:rPr>
        <w:t>ione possiamo sostenere che le t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t>ic oggi costituiscono un “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motivatore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>” dell’apprendimento (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Spitzer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), il cui valore 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emozionale-motivazionale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 viene espresso dal nuovo termine “wow 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”. Tra i  molteplici dispositivi di cui può avvalersi la progettazione didattica merita una particolare attenzione la </w:t>
      </w:r>
      <w:proofErr w:type="spellStart"/>
      <w:r w:rsidRPr="00156D85">
        <w:rPr>
          <w:rFonts w:ascii="Times New Roman" w:eastAsia="Times New Roman" w:hAnsi="Times New Roman" w:cs="Times New Roman"/>
          <w:sz w:val="24"/>
          <w:szCs w:val="24"/>
        </w:rPr>
        <w:t>Lim</w:t>
      </w:r>
      <w:proofErr w:type="spellEnd"/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, la lavagna interattiva multimediale. </w:t>
      </w:r>
      <w:r w:rsidRPr="00156D85">
        <w:rPr>
          <w:rFonts w:ascii="Times New Roman" w:hAnsi="Times New Roman" w:cs="Times New Roman"/>
          <w:sz w:val="24"/>
          <w:szCs w:val="24"/>
        </w:rPr>
        <w:t xml:space="preserve"> 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L’impatto visivo potenzia il linguaggio non verbale, permettendo una semplificazione dei concetti e un maggiore coinvolgimento dell’alunno, che segue con maggiore attenzione. Questa caratteristica rende la </w:t>
      </w:r>
      <w:r w:rsidRPr="00156D85">
        <w:rPr>
          <w:rFonts w:ascii="Times New Roman" w:eastAsia="Times New Roman" w:hAnsi="Times New Roman" w:cs="Times New Roman"/>
          <w:bCs/>
          <w:sz w:val="24"/>
          <w:szCs w:val="24"/>
        </w:rPr>
        <w:t>lavagna interattiva multimediale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t xml:space="preserve"> particolarmente indicata per ragazzi con difficoltà d’apprendimento, poco abituati a una lunga concentrazione o con diversi stili di apprendimento. </w:t>
      </w:r>
      <w:r w:rsidRPr="00156D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Inoltre tale dispositivo permette uno svolgimento partecipativo della lezione, dove l’insegnante diventa un facilitatore o animatore della lezione, stimolando gli studenti a organizzare, produrre, comunicare e condividere la conoscenza, in una prospettiva di rete. Quiz interattivi, costruzione di mappe concettuali, blog, ipertesti, accesso a banche dati, offrono infinite possibilità di miglioramento cognitivo. </w:t>
      </w:r>
    </w:p>
    <w:p w:rsidR="009E7AE8" w:rsidRPr="009E7AE8" w:rsidRDefault="009E7AE8" w:rsidP="00B91B6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AE8">
        <w:rPr>
          <w:rFonts w:ascii="Times New Roman" w:eastAsia="Times New Roman" w:hAnsi="Times New Roman" w:cs="Times New Roman"/>
          <w:b/>
          <w:sz w:val="24"/>
          <w:szCs w:val="24"/>
        </w:rPr>
        <w:t>Lucia Amalfitano</w:t>
      </w:r>
    </w:p>
    <w:p w:rsidR="005E1F01" w:rsidRDefault="005E1F01"/>
    <w:sectPr w:rsidR="005E1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90612"/>
    <w:rsid w:val="00290612"/>
    <w:rsid w:val="005E1F01"/>
    <w:rsid w:val="009E7AE8"/>
    <w:rsid w:val="00B9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90612"/>
    <w:rPr>
      <w:i/>
      <w:iCs/>
    </w:rPr>
  </w:style>
  <w:style w:type="character" w:customStyle="1" w:styleId="st">
    <w:name w:val="st"/>
    <w:basedOn w:val="Carpredefinitoparagrafo"/>
    <w:rsid w:val="002906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B2C975-0356-4918-8E7C-7A8A6289C0CA}" type="doc">
      <dgm:prSet loTypeId="urn:microsoft.com/office/officeart/2005/8/layout/arrow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646E0F3A-4FAF-4146-AD6C-A90AC1773297}">
      <dgm:prSet phldrT="[Testo]"/>
      <dgm:spPr/>
      <dgm:t>
        <a:bodyPr/>
        <a:lstStyle/>
        <a:p>
          <a:pPr algn="ctr"/>
          <a:r>
            <a:rPr lang="it-IT"/>
            <a:t>interesse per la tecnologia</a:t>
          </a:r>
        </a:p>
      </dgm:t>
    </dgm:pt>
    <dgm:pt modelId="{2E73815D-B0A9-4C6B-92ED-CB026063627C}" type="parTrans" cxnId="{86BBAF79-C96C-4FA0-8FCB-B1B45411C382}">
      <dgm:prSet/>
      <dgm:spPr/>
      <dgm:t>
        <a:bodyPr/>
        <a:lstStyle/>
        <a:p>
          <a:pPr algn="ctr"/>
          <a:endParaRPr lang="it-IT"/>
        </a:p>
      </dgm:t>
    </dgm:pt>
    <dgm:pt modelId="{EB861FA2-3E6D-4813-891A-74E0CFD227EC}" type="sibTrans" cxnId="{86BBAF79-C96C-4FA0-8FCB-B1B45411C382}">
      <dgm:prSet/>
      <dgm:spPr/>
      <dgm:t>
        <a:bodyPr/>
        <a:lstStyle/>
        <a:p>
          <a:pPr algn="ctr"/>
          <a:endParaRPr lang="it-IT"/>
        </a:p>
      </dgm:t>
    </dgm:pt>
    <dgm:pt modelId="{4C85037A-7A61-462E-BF86-BCA75C1CED03}">
      <dgm:prSet phldrT="[Testo]"/>
      <dgm:spPr/>
      <dgm:t>
        <a:bodyPr/>
        <a:lstStyle/>
        <a:p>
          <a:pPr algn="ctr"/>
          <a:r>
            <a:rPr lang="it-IT"/>
            <a:t>interesse per la disciplina</a:t>
          </a:r>
        </a:p>
      </dgm:t>
    </dgm:pt>
    <dgm:pt modelId="{DA7CE56C-BD58-4CDD-A261-D331FFF2E054}" type="parTrans" cxnId="{3FCD931B-210B-45AE-B797-6D88DE0D4C8E}">
      <dgm:prSet/>
      <dgm:spPr/>
      <dgm:t>
        <a:bodyPr/>
        <a:lstStyle/>
        <a:p>
          <a:pPr algn="ctr"/>
          <a:endParaRPr lang="it-IT"/>
        </a:p>
      </dgm:t>
    </dgm:pt>
    <dgm:pt modelId="{47DB1E6A-A5E7-41BF-BCE9-984DCB91FE4A}" type="sibTrans" cxnId="{3FCD931B-210B-45AE-B797-6D88DE0D4C8E}">
      <dgm:prSet/>
      <dgm:spPr/>
      <dgm:t>
        <a:bodyPr/>
        <a:lstStyle/>
        <a:p>
          <a:pPr algn="ctr"/>
          <a:endParaRPr lang="it-IT"/>
        </a:p>
      </dgm:t>
    </dgm:pt>
    <dgm:pt modelId="{18698B19-777A-40CF-92FB-3C4691F12131}" type="pres">
      <dgm:prSet presAssocID="{48B2C975-0356-4918-8E7C-7A8A6289C0C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5EEC9E90-C591-49A7-8583-9C0755336E56}" type="pres">
      <dgm:prSet presAssocID="{646E0F3A-4FAF-4146-AD6C-A90AC1773297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6C6332B-AC70-47AC-B2BF-017F1437B986}" type="pres">
      <dgm:prSet presAssocID="{4C85037A-7A61-462E-BF86-BCA75C1CED03}" presName="arrow" presStyleLbl="node1" presStyleIdx="1" presStyleCnt="2" custScaleY="100108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AC463E41-D891-4A4C-A774-97C083953E70}" type="presOf" srcId="{48B2C975-0356-4918-8E7C-7A8A6289C0CA}" destId="{18698B19-777A-40CF-92FB-3C4691F12131}" srcOrd="0" destOrd="0" presId="urn:microsoft.com/office/officeart/2005/8/layout/arrow5"/>
    <dgm:cxn modelId="{6A576655-4D90-4474-B8FD-5714F655CB24}" type="presOf" srcId="{646E0F3A-4FAF-4146-AD6C-A90AC1773297}" destId="{5EEC9E90-C591-49A7-8583-9C0755336E56}" srcOrd="0" destOrd="0" presId="urn:microsoft.com/office/officeart/2005/8/layout/arrow5"/>
    <dgm:cxn modelId="{3FCD931B-210B-45AE-B797-6D88DE0D4C8E}" srcId="{48B2C975-0356-4918-8E7C-7A8A6289C0CA}" destId="{4C85037A-7A61-462E-BF86-BCA75C1CED03}" srcOrd="1" destOrd="0" parTransId="{DA7CE56C-BD58-4CDD-A261-D331FFF2E054}" sibTransId="{47DB1E6A-A5E7-41BF-BCE9-984DCB91FE4A}"/>
    <dgm:cxn modelId="{86BBAF79-C96C-4FA0-8FCB-B1B45411C382}" srcId="{48B2C975-0356-4918-8E7C-7A8A6289C0CA}" destId="{646E0F3A-4FAF-4146-AD6C-A90AC1773297}" srcOrd="0" destOrd="0" parTransId="{2E73815D-B0A9-4C6B-92ED-CB026063627C}" sibTransId="{EB861FA2-3E6D-4813-891A-74E0CFD227EC}"/>
    <dgm:cxn modelId="{4C6676BB-2A7D-4809-999E-578FEF7D17D0}" type="presOf" srcId="{4C85037A-7A61-462E-BF86-BCA75C1CED03}" destId="{76C6332B-AC70-47AC-B2BF-017F1437B986}" srcOrd="0" destOrd="0" presId="urn:microsoft.com/office/officeart/2005/8/layout/arrow5"/>
    <dgm:cxn modelId="{B5A39B65-2235-45CE-9F28-45DC20DB1999}" type="presParOf" srcId="{18698B19-777A-40CF-92FB-3C4691F12131}" destId="{5EEC9E90-C591-49A7-8583-9C0755336E56}" srcOrd="0" destOrd="0" presId="urn:microsoft.com/office/officeart/2005/8/layout/arrow5"/>
    <dgm:cxn modelId="{582B64D1-59F5-4A56-9DD8-5BE521CEEC2D}" type="presParOf" srcId="{18698B19-777A-40CF-92FB-3C4691F12131}" destId="{76C6332B-AC70-47AC-B2BF-017F1437B986}" srcOrd="1" destOrd="0" presId="urn:microsoft.com/office/officeart/2005/8/layout/arrow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2014-11-07T14:22:00Z</dcterms:created>
  <dcterms:modified xsi:type="dcterms:W3CDTF">2014-11-07T14:39:00Z</dcterms:modified>
</cp:coreProperties>
</file>